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C6361">
        <w:rPr>
          <w:rFonts w:ascii="Arial" w:hAnsi="Arial" w:cs="Arial"/>
          <w:b/>
          <w:color w:val="000000"/>
          <w:sz w:val="22"/>
          <w:szCs w:val="22"/>
        </w:rPr>
        <w:t>2019-0</w:t>
      </w:r>
      <w:r w:rsidR="00091409">
        <w:rPr>
          <w:rFonts w:ascii="Arial" w:hAnsi="Arial" w:cs="Arial"/>
          <w:b/>
          <w:color w:val="000000"/>
          <w:sz w:val="22"/>
          <w:szCs w:val="22"/>
        </w:rPr>
        <w:t>8-01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091409" w:rsidRPr="00091409">
        <w:t xml:space="preserve"> </w:t>
      </w:r>
      <w:r w:rsidR="00091409" w:rsidRPr="00091409">
        <w:rPr>
          <w:rFonts w:ascii="Arial" w:hAnsi="Arial" w:cs="Arial"/>
          <w:b/>
          <w:color w:val="000000"/>
          <w:sz w:val="22"/>
          <w:szCs w:val="22"/>
        </w:rPr>
        <w:t xml:space="preserve"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DA26C7">
        <w:rPr>
          <w:rFonts w:ascii="Arial" w:hAnsi="Arial" w:cs="Arial"/>
          <w:sz w:val="22"/>
          <w:szCs w:val="22"/>
        </w:rPr>
        <w:t>12</w:t>
      </w:r>
      <w:r w:rsidR="00DA4BA4">
        <w:rPr>
          <w:rFonts w:ascii="Arial" w:hAnsi="Arial" w:cs="Arial"/>
          <w:sz w:val="22"/>
          <w:szCs w:val="22"/>
        </w:rPr>
        <w:t>.</w:t>
      </w:r>
      <w:r w:rsidR="00091409">
        <w:rPr>
          <w:rFonts w:ascii="Arial" w:hAnsi="Arial" w:cs="Arial"/>
          <w:sz w:val="22"/>
          <w:szCs w:val="22"/>
        </w:rPr>
        <w:t>08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DA26C7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DA4BA4">
        <w:rPr>
          <w:rFonts w:ascii="Arial" w:hAnsi="Arial" w:cs="Arial"/>
          <w:sz w:val="22"/>
          <w:szCs w:val="22"/>
        </w:rPr>
        <w:t>.</w:t>
      </w:r>
      <w:r w:rsidR="00091409">
        <w:rPr>
          <w:rFonts w:ascii="Arial" w:hAnsi="Arial" w:cs="Arial"/>
          <w:sz w:val="22"/>
          <w:szCs w:val="22"/>
        </w:rPr>
        <w:t>0</w:t>
      </w:r>
      <w:r w:rsidR="0008701E">
        <w:rPr>
          <w:rFonts w:ascii="Arial" w:hAnsi="Arial" w:cs="Arial"/>
          <w:sz w:val="22"/>
          <w:szCs w:val="22"/>
        </w:rPr>
        <w:t>8</w:t>
      </w:r>
      <w:r w:rsidR="00F26A2D">
        <w:rPr>
          <w:rFonts w:ascii="Arial" w:hAnsi="Arial" w:cs="Arial"/>
          <w:sz w:val="22"/>
          <w:szCs w:val="22"/>
        </w:rPr>
        <w:t>.</w:t>
      </w:r>
      <w:r w:rsidR="00FC6361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091409" w:rsidRDefault="00C240FF" w:rsidP="00091409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091409" w:rsidRPr="000914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 xml:space="preserve"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</w:t>
      </w:r>
      <w:bookmarkStart w:id="1" w:name="OLE_LINK14"/>
      <w:bookmarkStart w:id="2" w:name="OLE_LINK15"/>
      <w:r w:rsidR="00091409" w:rsidRPr="00091409">
        <w:rPr>
          <w:rFonts w:ascii="Arial" w:hAnsi="Arial" w:cs="Arial"/>
          <w:sz w:val="22"/>
          <w:szCs w:val="22"/>
          <w:lang w:eastAsia="en-US"/>
        </w:rPr>
        <w:t>с выдачей свидетельств об утверждении типа</w:t>
      </w:r>
      <w:bookmarkEnd w:id="1"/>
      <w:bookmarkEnd w:id="2"/>
      <w:r w:rsidR="00091409">
        <w:rPr>
          <w:rFonts w:ascii="Arial" w:hAnsi="Arial" w:cs="Arial"/>
          <w:sz w:val="22"/>
          <w:szCs w:val="22"/>
          <w:lang w:eastAsia="en-US"/>
        </w:rPr>
        <w:t>.</w:t>
      </w:r>
    </w:p>
    <w:p w:rsidR="000A4924" w:rsidRDefault="00C240FF" w:rsidP="0009140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9140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>до 31 декабря 2019 года</w:t>
      </w:r>
      <w:r w:rsidR="00091409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0A4924" w:rsidRDefault="00C240FF" w:rsidP="0009140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="0009140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91409" w:rsidRPr="00091409">
        <w:rPr>
          <w:rFonts w:ascii="Arial" w:hAnsi="Arial" w:cs="Arial"/>
          <w:sz w:val="22"/>
          <w:szCs w:val="22"/>
        </w:rPr>
        <w:t>г. Санкт-Петербург, Пулковское шоссе, д.41</w:t>
      </w:r>
      <w:r w:rsidR="00091409" w:rsidRPr="00091409">
        <w:t xml:space="preserve"> </w:t>
      </w:r>
      <w:r w:rsidR="00091409" w:rsidRPr="00091409">
        <w:rPr>
          <w:rFonts w:ascii="Arial" w:hAnsi="Arial" w:cs="Arial"/>
          <w:sz w:val="22"/>
          <w:szCs w:val="22"/>
        </w:rPr>
        <w:t>Расходный склад ГСМ АО «Совэкс».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 xml:space="preserve"> 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3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3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88"/>
        <w:gridCol w:w="7335"/>
      </w:tblGrid>
      <w:tr w:rsidR="0008701E" w:rsidRPr="0077498C" w:rsidTr="00D64BA7">
        <w:trPr>
          <w:trHeight w:val="816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08701E" w:rsidRPr="0077498C" w:rsidTr="00D64BA7">
        <w:trPr>
          <w:trHeight w:val="513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08701E" w:rsidRPr="0077498C" w:rsidTr="00D64BA7">
        <w:trPr>
          <w:trHeight w:val="650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  <w:r w:rsidRPr="0008701E">
              <w:rPr>
                <w:b w:val="0"/>
                <w:sz w:val="22"/>
                <w:szCs w:val="22"/>
                <w:lang w:val="ru-RU"/>
              </w:rPr>
              <w:t>Проведение испытаний резервуаров в целях утверждения типа средств измерений с выдачей свидетельств об утверждении типа. Проведение поверки резервуаров с выдачей градуировочных таблиц и свидетельств о поверке.</w:t>
            </w:r>
          </w:p>
          <w:p w:rsidR="0008701E" w:rsidRPr="0008701E" w:rsidRDefault="0008701E" w:rsidP="0008701E">
            <w:pPr>
              <w:pStyle w:val="FR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8701E" w:rsidRPr="0077498C" w:rsidTr="00D64BA7">
        <w:trPr>
          <w:trHeight w:val="592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pStyle w:val="FR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8701E">
              <w:rPr>
                <w:b w:val="0"/>
                <w:bCs w:val="0"/>
                <w:sz w:val="22"/>
                <w:szCs w:val="22"/>
                <w:lang w:val="ru-RU"/>
              </w:rPr>
              <w:t>В соответствии с бизнес-планом на 2019 год.</w:t>
            </w:r>
          </w:p>
        </w:tc>
      </w:tr>
      <w:tr w:rsidR="0008701E" w:rsidRPr="0077498C" w:rsidTr="00D64BA7">
        <w:trPr>
          <w:trHeight w:val="1410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pStyle w:val="a5"/>
              <w:numPr>
                <w:ilvl w:val="0"/>
                <w:numId w:val="49"/>
              </w:numPr>
              <w:spacing w:line="276" w:lineRule="auto"/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Перечень резервуаров подлежащих испытаниям: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187"/>
              <w:gridCol w:w="1371"/>
              <w:gridCol w:w="1850"/>
              <w:gridCol w:w="1134"/>
              <w:gridCol w:w="1276"/>
            </w:tblGrid>
            <w:tr w:rsidR="0008701E" w:rsidRPr="001C752A" w:rsidTr="00E267AD">
              <w:trPr>
                <w:trHeight w:val="444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Тип резервуара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Вместимость (м3)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Завод изготовитель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Год установки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Тип ГСМ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РВС-3000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РВС-3000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3326,566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РВС-3000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3294,168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РВС-3000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3324,869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РВС-1000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959,967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РВС-1000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972,017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РВС-1000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977,451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Ждановтяжмаш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РГС-60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Ниже-Исетский завод металлоконструкций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Минский рессорный завод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Авиатопливо</w:t>
                  </w:r>
                </w:p>
                <w:p w:rsidR="0008701E" w:rsidRPr="00174389" w:rsidRDefault="0008701E" w:rsidP="0008701E">
                  <w:pPr>
                    <w:pStyle w:val="msonormalmailrucssattributepostfix"/>
                    <w:spacing w:before="0" w:beforeAutospacing="0" w:after="0" w:afterAutospacing="0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ТС-1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РГС-25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Минский рессорный завод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РГС-25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Минский рессорный завод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РГС-25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Минский рессорный завод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РГС-25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Dynalite (Швеция)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РГС-25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Dynalite (Швеция)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ПОЖ</w:t>
                  </w:r>
                </w:p>
              </w:tc>
            </w:tr>
            <w:tr w:rsidR="0008701E" w:rsidRPr="001C752A" w:rsidTr="00E267A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</w:t>
                  </w: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МГ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(2 отсека по 10м3)</w:t>
                  </w:r>
                </w:p>
              </w:tc>
              <w:tc>
                <w:tcPr>
                  <w:tcW w:w="1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ООО "НПО Агрегат"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701E" w:rsidRPr="00174389" w:rsidRDefault="0008701E" w:rsidP="0008701E">
                  <w:pPr>
                    <w:pStyle w:val="msonormalmailrucssattributepostfix"/>
                    <w:ind w:right="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43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ПВК-жидкость</w:t>
                  </w:r>
                </w:p>
              </w:tc>
            </w:tr>
          </w:tbl>
          <w:p w:rsidR="0008701E" w:rsidRPr="009047A1" w:rsidRDefault="0008701E" w:rsidP="0008701E">
            <w:pPr>
              <w:pStyle w:val="a5"/>
              <w:rPr>
                <w:rFonts w:ascii="Arial" w:hAnsi="Arial" w:cs="Arial"/>
                <w:b/>
              </w:rPr>
            </w:pPr>
          </w:p>
          <w:p w:rsidR="0008701E" w:rsidRPr="0008701E" w:rsidRDefault="0008701E" w:rsidP="0008701E">
            <w:pPr>
              <w:pStyle w:val="a5"/>
              <w:numPr>
                <w:ilvl w:val="0"/>
                <w:numId w:val="49"/>
              </w:numPr>
              <w:ind w:left="459" w:hanging="284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Требования к проведению работ:</w:t>
            </w:r>
          </w:p>
          <w:p w:rsidR="0008701E" w:rsidRPr="0008701E" w:rsidRDefault="0008701E" w:rsidP="0008701E">
            <w:pPr>
              <w:pStyle w:val="a5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Подготовка к испытаниям производится силами заказчика;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Выполнение испытаний резервуаров для целей утверждения их типа в соответствии с требованиями нормативно-технической документации;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Выполнение государственной регистрации и выдача свидетельств об утверждении типа;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Выполнение градуировки резервуаров с выдачей градуировочных таблиц и свидетельств о поверке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8701E" w:rsidRPr="00A036E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Предоставлять услуги в соответствии с методами Государственной системы обеспечения единства измерений, ГОСТ 8.570-2000 «Государственная система обеспечения единства измерений. Резервуары стальные вертикальные цилиндрические», ГОСТ 8.346-2000 «Государственная система обеспечения единства измерений. Резервуары стальные горизонтальные цилиндрические» со всеми изменениями и поправками.</w:t>
            </w:r>
          </w:p>
        </w:tc>
      </w:tr>
      <w:tr w:rsidR="0008701E" w:rsidRPr="0077498C" w:rsidTr="00D64BA7">
        <w:trPr>
          <w:trHeight w:val="695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:rsidR="0008701E" w:rsidRPr="0008701E" w:rsidRDefault="0008701E" w:rsidP="0008701E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Оплата оказанных услуг производится Заказчиком перечислением денежных средств на расчетный счет Исполнителя в течение 5 (пяти)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08701E" w:rsidRPr="0008701E" w:rsidRDefault="0008701E" w:rsidP="0008701E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</w:tr>
      <w:tr w:rsidR="0008701E" w:rsidRPr="0077498C" w:rsidTr="00D64BA7">
        <w:trPr>
          <w:trHeight w:val="899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:rsidR="0008701E" w:rsidRPr="0008701E" w:rsidRDefault="0008701E" w:rsidP="00087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Расходный склад ГСМ АО «Совэкс»</w:t>
            </w:r>
          </w:p>
          <w:p w:rsidR="0008701E" w:rsidRPr="0008701E" w:rsidRDefault="0008701E" w:rsidP="00087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г. Санкт-Петербург, Пулковское шоссе, д. 41.</w:t>
            </w:r>
          </w:p>
        </w:tc>
      </w:tr>
      <w:tr w:rsidR="0008701E" w:rsidRPr="0077498C" w:rsidTr="00D64BA7">
        <w:trPr>
          <w:trHeight w:val="619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vAlign w:val="center"/>
          </w:tcPr>
          <w:p w:rsidR="0008701E" w:rsidRPr="0008701E" w:rsidRDefault="0008701E" w:rsidP="00087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  <w:lang w:eastAsia="en-US"/>
              </w:rPr>
              <w:t>до 31 декабря 2019 года</w:t>
            </w:r>
          </w:p>
        </w:tc>
      </w:tr>
      <w:tr w:rsidR="0008701E" w:rsidRPr="0077498C" w:rsidTr="00D64BA7">
        <w:trPr>
          <w:trHeight w:val="1293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Наличие у потенциального участника аттестата аккредитации в области обеспечения единства измерений для выполнения работ по проведению испытаний средств измерений в целях утверждения типа и проведения поверки резервуаров.</w:t>
            </w:r>
          </w:p>
        </w:tc>
      </w:tr>
      <w:tr w:rsidR="0008701E" w:rsidRPr="0077498C" w:rsidTr="00D64BA7">
        <w:trPr>
          <w:trHeight w:val="970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vAlign w:val="center"/>
          </w:tcPr>
          <w:p w:rsidR="0008701E" w:rsidRPr="0008701E" w:rsidRDefault="0008701E" w:rsidP="0008701E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По факту оказания услуг Исполнитель предоставляет Заказчику по каждому резервуару: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 xml:space="preserve">- Свидетельство об утверждении типа средств измерений,  выданное </w:t>
            </w:r>
            <w:r w:rsidRPr="0008701E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Федеральным агентством по техническому регулированию и метрологии</w:t>
            </w:r>
            <w:r w:rsidRPr="0008701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(</w:t>
            </w:r>
            <w:r w:rsidRPr="0008701E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Росстандарт</w:t>
            </w:r>
            <w:r w:rsidRPr="0008701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);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Свидетельство о поверке;</w:t>
            </w:r>
          </w:p>
          <w:p w:rsidR="0008701E" w:rsidRPr="0008701E" w:rsidRDefault="0008701E" w:rsidP="0008701E">
            <w:pPr>
              <w:pStyle w:val="a5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- Градуировочную таблицу.</w:t>
            </w:r>
          </w:p>
        </w:tc>
      </w:tr>
      <w:tr w:rsidR="0008701E" w:rsidRPr="0077498C" w:rsidTr="00D64BA7">
        <w:trPr>
          <w:trHeight w:val="427"/>
        </w:trPr>
        <w:tc>
          <w:tcPr>
            <w:tcW w:w="514" w:type="dxa"/>
            <w:vAlign w:val="center"/>
          </w:tcPr>
          <w:p w:rsidR="0008701E" w:rsidRPr="0008701E" w:rsidRDefault="0008701E" w:rsidP="00087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88" w:type="dxa"/>
            <w:vAlign w:val="center"/>
          </w:tcPr>
          <w:p w:rsidR="0008701E" w:rsidRPr="0008701E" w:rsidRDefault="0008701E" w:rsidP="00087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01E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335" w:type="dxa"/>
            <w:vAlign w:val="center"/>
          </w:tcPr>
          <w:p w:rsidR="0008701E" w:rsidRPr="0008701E" w:rsidRDefault="0008701E" w:rsidP="0008701E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 xml:space="preserve">Объекты АО «Совэкс» находятся на территории аэропорта «Пулково» и имеют контрольно-пропускную систему. </w:t>
            </w:r>
          </w:p>
          <w:p w:rsidR="0008701E" w:rsidRPr="0008701E" w:rsidRDefault="0008701E" w:rsidP="0008701E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Для обеспечения доступа на объект по адресу: г. Санкт-Петербург, Пулковское шоссе, д.41 в течение 3 (трёх) календарных дней с момента поступления запроса от Заказчика, предоставить паспортные данные на сотрудников и данные на оборудование. Проверка документов службой безопасности аэропорта «Пулково» происходит в течение двух месяцев.</w:t>
            </w:r>
          </w:p>
          <w:p w:rsidR="0008701E" w:rsidRPr="0008701E" w:rsidRDefault="0008701E" w:rsidP="0008701E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AC9" w:rsidRPr="00915AC9" w:rsidRDefault="00915AC9" w:rsidP="00915AC9"/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2F76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C2F76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8C5C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оказать</w:t>
            </w:r>
            <w:r w:rsidR="008C5C6B" w:rsidRP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      </w:r>
            <w:r w:rsid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19-0</w:t>
            </w:r>
            <w:r w:rsidR="008C5C6B">
              <w:rPr>
                <w:rFonts w:ascii="Arial" w:hAnsi="Arial" w:cs="Arial"/>
                <w:sz w:val="22"/>
                <w:szCs w:val="22"/>
              </w:rPr>
              <w:t>8-01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8C5C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8C5C6B" w:rsidRP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8C5C6B" w:rsidRPr="008C5C6B">
              <w:rPr>
                <w:rFonts w:ascii="Arial" w:hAnsi="Arial" w:cs="Arial"/>
                <w:sz w:val="22"/>
                <w:szCs w:val="22"/>
              </w:rPr>
      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      </w:r>
            <w:r w:rsidR="008C5C6B">
              <w:rPr>
                <w:rFonts w:ascii="Arial" w:hAnsi="Arial" w:cs="Arial"/>
                <w:sz w:val="22"/>
                <w:szCs w:val="22"/>
              </w:rPr>
              <w:t>.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2019-0</w:t>
            </w:r>
            <w:r w:rsidR="008C5C6B">
              <w:rPr>
                <w:rFonts w:ascii="Arial" w:hAnsi="Arial" w:cs="Arial"/>
                <w:sz w:val="22"/>
                <w:szCs w:val="22"/>
              </w:rPr>
              <w:t>8-01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4" w:name="_Toc148353306"/>
      <w:bookmarkStart w:id="5" w:name="_Toc148353307"/>
      <w:bookmarkStart w:id="6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4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7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8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7"/>
      <w:bookmarkEnd w:id="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5"/>
      <w:bookmarkEnd w:id="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8C5C6B" w:rsidRPr="008C5C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5C6B" w:rsidRPr="008C5C6B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E91018" wp14:editId="6B1B45C7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A02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9" w:name="_Toc148353308"/>
      <w:bookmarkStart w:id="10" w:name="_Toc148524243"/>
      <w:bookmarkStart w:id="11" w:name="_Toc165090144"/>
      <w:bookmarkStart w:id="12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9"/>
      <w:bookmarkEnd w:id="10"/>
      <w:bookmarkEnd w:id="11"/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50D410" wp14:editId="07E42B87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9FB5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6698FB" wp14:editId="1607C53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3B1A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3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8C5C6B" w:rsidRDefault="00004386" w:rsidP="008C5C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8C5C6B" w:rsidRPr="008C5C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5C6B" w:rsidRPr="008C5C6B">
        <w:rPr>
          <w:rFonts w:ascii="Arial" w:hAnsi="Arial" w:cs="Arial"/>
          <w:b/>
          <w:sz w:val="22"/>
          <w:szCs w:val="22"/>
        </w:rPr>
        <w:t>метрологически</w:t>
      </w:r>
      <w:r w:rsidR="008C5C6B">
        <w:rPr>
          <w:rFonts w:ascii="Arial" w:hAnsi="Arial" w:cs="Arial"/>
          <w:b/>
          <w:sz w:val="22"/>
          <w:szCs w:val="22"/>
        </w:rPr>
        <w:t>х</w:t>
      </w:r>
      <w:r w:rsidR="008C5C6B" w:rsidRPr="008C5C6B">
        <w:rPr>
          <w:rFonts w:ascii="Arial" w:hAnsi="Arial" w:cs="Arial"/>
          <w:b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61484F" w:rsidP="0067421D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8C5C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5C6B">
              <w:rPr>
                <w:rFonts w:ascii="Arial" w:hAnsi="Arial" w:cs="Arial"/>
                <w:sz w:val="22"/>
                <w:szCs w:val="22"/>
              </w:rPr>
              <w:t>до 31 декабря 2019 года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8611F9" w:rsidRPr="0008701E" w:rsidRDefault="008611F9" w:rsidP="008611F9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Оплата оказанных услуг производится Заказчиком перечислением денежных средств на расчетный счет Исполнителя в течение 5 (пяти)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2D0F62" w:rsidRPr="00604B62" w:rsidRDefault="008611F9" w:rsidP="00861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</w:t>
            </w:r>
            <w:r w:rsidR="008C5C6B" w:rsidRPr="008C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80222F">
        <w:rPr>
          <w:rFonts w:ascii="Arial" w:hAnsi="Arial" w:cs="Arial"/>
          <w:bCs/>
          <w:sz w:val="22"/>
          <w:szCs w:val="22"/>
        </w:rPr>
        <w:t>.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4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F812A6" w:rsidRDefault="00004386" w:rsidP="003A7F3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/>
          <w:sz w:val="22"/>
          <w:szCs w:val="22"/>
        </w:rPr>
        <w:t>метрологически</w:t>
      </w:r>
      <w:r w:rsidR="0080222F">
        <w:rPr>
          <w:rFonts w:ascii="Arial" w:hAnsi="Arial" w:cs="Arial"/>
          <w:b/>
          <w:sz w:val="22"/>
          <w:szCs w:val="22"/>
        </w:rPr>
        <w:t>х</w:t>
      </w:r>
      <w:r w:rsidR="0080222F" w:rsidRPr="0080222F">
        <w:rPr>
          <w:rFonts w:ascii="Arial" w:hAnsi="Arial" w:cs="Arial"/>
          <w:b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  <w:r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</w:t>
      </w:r>
      <w:r w:rsidR="0080222F">
        <w:rPr>
          <w:rFonts w:ascii="Arial" w:hAnsi="Arial" w:cs="Arial"/>
          <w:sz w:val="22"/>
          <w:szCs w:val="22"/>
        </w:rPr>
        <w:t>х</w:t>
      </w:r>
      <w:r w:rsidR="0080222F" w:rsidRPr="0080222F">
        <w:rPr>
          <w:rFonts w:ascii="Arial" w:hAnsi="Arial" w:cs="Arial"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80222F" w:rsidRDefault="00004386" w:rsidP="00004386">
      <w:pPr>
        <w:jc w:val="both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5" w:name="OLE_LINK1"/>
      <w:bookmarkStart w:id="16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5"/>
      <w:bookmarkEnd w:id="16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80222F">
        <w:rPr>
          <w:rFonts w:ascii="Arial" w:hAnsi="Arial" w:cs="Arial"/>
          <w:bCs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7" w:name="_Hlt22846931"/>
      <w:bookmarkStart w:id="18" w:name="_Ref93264992"/>
      <w:bookmarkStart w:id="19" w:name="_Ref93265116"/>
      <w:bookmarkStart w:id="20" w:name="_Toc156792957"/>
      <w:bookmarkEnd w:id="17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2" w:name="_Toc156792978"/>
      <w:bookmarkEnd w:id="18"/>
      <w:bookmarkEnd w:id="19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3" w:name="_Ref280706810"/>
      <w:bookmarkEnd w:id="2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3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4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4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6E74A7" w:rsidRPr="006E74A7">
        <w:rPr>
          <w:rFonts w:ascii="Arial" w:hAnsi="Arial" w:cs="Arial"/>
          <w:sz w:val="22"/>
          <w:szCs w:val="22"/>
        </w:rPr>
        <w:t>.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2019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80222F">
        <w:rPr>
          <w:rFonts w:ascii="Arial" w:hAnsi="Arial" w:cs="Arial"/>
          <w:sz w:val="22"/>
          <w:szCs w:val="22"/>
        </w:rPr>
        <w:t>8</w:t>
      </w:r>
      <w:r w:rsidR="002D0F62">
        <w:rPr>
          <w:rFonts w:ascii="Arial" w:hAnsi="Arial" w:cs="Arial"/>
          <w:sz w:val="22"/>
          <w:szCs w:val="22"/>
        </w:rPr>
        <w:t>-</w:t>
      </w:r>
      <w:r w:rsidR="0080222F">
        <w:rPr>
          <w:rFonts w:ascii="Arial" w:hAnsi="Arial" w:cs="Arial"/>
          <w:sz w:val="22"/>
          <w:szCs w:val="22"/>
        </w:rPr>
        <w:t>01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E" w:rsidRDefault="00A766BE" w:rsidP="00C6432B">
      <w:r>
        <w:separator/>
      </w:r>
    </w:p>
  </w:endnote>
  <w:endnote w:type="continuationSeparator" w:id="0">
    <w:p w:rsidR="00A766BE" w:rsidRDefault="00A766BE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FE19B1" w:rsidRDefault="00091409">
    <w:pPr>
      <w:pStyle w:val="a6"/>
      <w:jc w:val="right"/>
      <w:rPr>
        <w:sz w:val="20"/>
        <w:szCs w:val="20"/>
      </w:rPr>
    </w:pPr>
  </w:p>
  <w:p w:rsidR="00091409" w:rsidRDefault="000914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>
    <w:pPr>
      <w:pStyle w:val="a6"/>
      <w:jc w:val="right"/>
    </w:pPr>
  </w:p>
  <w:p w:rsidR="00091409" w:rsidRDefault="000914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409" w:rsidRDefault="00091409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577554" w:rsidRDefault="000914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ind w:right="360"/>
    </w:pPr>
  </w:p>
  <w:p w:rsidR="00091409" w:rsidRDefault="00091409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409" w:rsidRDefault="00091409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577554" w:rsidRDefault="000914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ind w:right="360"/>
    </w:pPr>
  </w:p>
  <w:p w:rsidR="00091409" w:rsidRDefault="00091409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E" w:rsidRDefault="00A766BE" w:rsidP="00C6432B">
      <w:r>
        <w:separator/>
      </w:r>
    </w:p>
  </w:footnote>
  <w:footnote w:type="continuationSeparator" w:id="0">
    <w:p w:rsidR="00A766BE" w:rsidRDefault="00A766BE" w:rsidP="00C6432B">
      <w:r>
        <w:continuationSeparator/>
      </w:r>
    </w:p>
  </w:footnote>
  <w:footnote w:id="1">
    <w:p w:rsidR="00091409" w:rsidRDefault="00091409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51039E5"/>
    <w:multiLevelType w:val="hybridMultilevel"/>
    <w:tmpl w:val="24A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4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6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40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34"/>
  </w:num>
  <w:num w:numId="5">
    <w:abstractNumId w:val="4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8"/>
  </w:num>
  <w:num w:numId="14">
    <w:abstractNumId w:val="32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1"/>
  </w:num>
  <w:num w:numId="22">
    <w:abstractNumId w:val="31"/>
  </w:num>
  <w:num w:numId="23">
    <w:abstractNumId w:val="39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7"/>
  </w:num>
  <w:num w:numId="31">
    <w:abstractNumId w:val="44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5"/>
  </w:num>
  <w:num w:numId="37">
    <w:abstractNumId w:val="40"/>
  </w:num>
  <w:num w:numId="38">
    <w:abstractNumId w:val="0"/>
  </w:num>
  <w:num w:numId="39">
    <w:abstractNumId w:val="45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0"/>
  </w:num>
  <w:num w:numId="47">
    <w:abstractNumId w:val="43"/>
  </w:num>
  <w:num w:numId="48">
    <w:abstractNumId w:val="33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8701E"/>
    <w:rsid w:val="00091409"/>
    <w:rsid w:val="000A4924"/>
    <w:rsid w:val="000E1305"/>
    <w:rsid w:val="000E35E0"/>
    <w:rsid w:val="000F026F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4CB8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45A9"/>
    <w:rsid w:val="005830B9"/>
    <w:rsid w:val="00586FFA"/>
    <w:rsid w:val="0058704C"/>
    <w:rsid w:val="005C1EC6"/>
    <w:rsid w:val="005C3D26"/>
    <w:rsid w:val="005C7D27"/>
    <w:rsid w:val="005D06F4"/>
    <w:rsid w:val="005D68CC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498C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D6227"/>
    <w:rsid w:val="007E064F"/>
    <w:rsid w:val="007E7FCC"/>
    <w:rsid w:val="007F7E76"/>
    <w:rsid w:val="0080222F"/>
    <w:rsid w:val="008102C1"/>
    <w:rsid w:val="00823661"/>
    <w:rsid w:val="00836320"/>
    <w:rsid w:val="008372D6"/>
    <w:rsid w:val="00852670"/>
    <w:rsid w:val="00853E9E"/>
    <w:rsid w:val="008611F9"/>
    <w:rsid w:val="00874D16"/>
    <w:rsid w:val="00881E33"/>
    <w:rsid w:val="00885F69"/>
    <w:rsid w:val="0088634D"/>
    <w:rsid w:val="00896107"/>
    <w:rsid w:val="008B1126"/>
    <w:rsid w:val="008B56CA"/>
    <w:rsid w:val="008C49FB"/>
    <w:rsid w:val="008C5C6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66BE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F71"/>
    <w:rsid w:val="00D70019"/>
    <w:rsid w:val="00D7085E"/>
    <w:rsid w:val="00D82D24"/>
    <w:rsid w:val="00D94554"/>
    <w:rsid w:val="00DA088C"/>
    <w:rsid w:val="00DA26C7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614E8"/>
    <w:rsid w:val="00E61AF6"/>
    <w:rsid w:val="00E65714"/>
    <w:rsid w:val="00E71611"/>
    <w:rsid w:val="00E73BA0"/>
    <w:rsid w:val="00E742F8"/>
    <w:rsid w:val="00E766C0"/>
    <w:rsid w:val="00E81890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59BF"/>
    <w:rsid w:val="00F812A6"/>
    <w:rsid w:val="00F91487"/>
    <w:rsid w:val="00FC6361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8701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6308-5952-4025-900B-F162DED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Меньшикова Анна Сергеевна</cp:lastModifiedBy>
  <cp:revision>63</cp:revision>
  <cp:lastPrinted>2019-07-23T11:50:00Z</cp:lastPrinted>
  <dcterms:created xsi:type="dcterms:W3CDTF">2018-02-16T07:22:00Z</dcterms:created>
  <dcterms:modified xsi:type="dcterms:W3CDTF">2019-08-12T06:46:00Z</dcterms:modified>
</cp:coreProperties>
</file>