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610461">
        <w:rPr>
          <w:rFonts w:ascii="Arial" w:hAnsi="Arial" w:cs="Arial"/>
          <w:b/>
          <w:color w:val="000000"/>
          <w:sz w:val="22"/>
          <w:szCs w:val="22"/>
        </w:rPr>
        <w:t>2019-12</w:t>
      </w:r>
      <w:r w:rsidR="00F60FD2">
        <w:rPr>
          <w:rFonts w:ascii="Arial" w:hAnsi="Arial" w:cs="Arial"/>
          <w:b/>
          <w:color w:val="000000"/>
          <w:sz w:val="22"/>
          <w:szCs w:val="22"/>
        </w:rPr>
        <w:t>-0</w:t>
      </w:r>
      <w:r w:rsidR="00610461">
        <w:rPr>
          <w:rFonts w:ascii="Arial" w:hAnsi="Arial" w:cs="Arial"/>
          <w:b/>
          <w:color w:val="000000"/>
          <w:sz w:val="22"/>
          <w:szCs w:val="22"/>
        </w:rPr>
        <w:t>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A14E1F" w:rsidRPr="00A14E1F">
        <w:t xml:space="preserve"> </w:t>
      </w:r>
      <w:r w:rsidR="00A14E1F" w:rsidRPr="00A14E1F">
        <w:rPr>
          <w:rFonts w:ascii="Arial" w:hAnsi="Arial" w:cs="Arial"/>
          <w:b/>
          <w:color w:val="000000"/>
          <w:sz w:val="22"/>
          <w:szCs w:val="22"/>
        </w:rPr>
        <w:t xml:space="preserve">услуги по </w:t>
      </w:r>
      <w:r w:rsidR="00610461" w:rsidRPr="00610461">
        <w:rPr>
          <w:rFonts w:ascii="Arial" w:hAnsi="Arial" w:cs="Arial"/>
          <w:b/>
          <w:color w:val="000000"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</w:t>
      </w:r>
      <w:r w:rsidR="00610461">
        <w:rPr>
          <w:rFonts w:ascii="Arial" w:hAnsi="Arial" w:cs="Arial"/>
          <w:b/>
          <w:color w:val="000000"/>
          <w:sz w:val="22"/>
          <w:szCs w:val="22"/>
        </w:rPr>
        <w:t>хнологическим процессом (</w:t>
      </w:r>
      <w:r w:rsidR="00A77F31">
        <w:rPr>
          <w:rFonts w:ascii="Arial" w:hAnsi="Arial" w:cs="Arial"/>
          <w:b/>
          <w:color w:val="000000"/>
          <w:sz w:val="22"/>
          <w:szCs w:val="22"/>
        </w:rPr>
        <w:t xml:space="preserve">ПТК </w:t>
      </w:r>
      <w:r w:rsidR="00610461">
        <w:rPr>
          <w:rFonts w:ascii="Arial" w:hAnsi="Arial" w:cs="Arial"/>
          <w:b/>
          <w:color w:val="000000"/>
          <w:sz w:val="22"/>
          <w:szCs w:val="22"/>
        </w:rPr>
        <w:t>АСУТП)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F7E5C">
        <w:rPr>
          <w:rFonts w:ascii="Arial" w:hAnsi="Arial" w:cs="Arial"/>
          <w:sz w:val="22"/>
          <w:szCs w:val="22"/>
        </w:rPr>
        <w:t>06</w:t>
      </w:r>
      <w:r w:rsidR="00610461">
        <w:rPr>
          <w:rFonts w:ascii="Arial" w:hAnsi="Arial" w:cs="Arial"/>
          <w:sz w:val="22"/>
          <w:szCs w:val="22"/>
        </w:rPr>
        <w:t>.12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  <w:bookmarkStart w:id="0" w:name="_GoBack"/>
      <w:bookmarkEnd w:id="0"/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F7E5C">
        <w:rPr>
          <w:rFonts w:ascii="Arial" w:hAnsi="Arial" w:cs="Arial"/>
          <w:sz w:val="22"/>
          <w:szCs w:val="22"/>
        </w:rPr>
        <w:t>20</w:t>
      </w:r>
      <w:r w:rsidR="00610461">
        <w:rPr>
          <w:rFonts w:ascii="Arial" w:hAnsi="Arial" w:cs="Arial"/>
          <w:sz w:val="22"/>
          <w:szCs w:val="22"/>
        </w:rPr>
        <w:t>.12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57268E" w:rsidRPr="0057268E" w:rsidRDefault="00C240FF" w:rsidP="0057268E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 xml:space="preserve">услуги по </w:t>
      </w:r>
      <w:r w:rsidR="0057268E" w:rsidRPr="0057268E">
        <w:rPr>
          <w:rFonts w:ascii="Arial" w:eastAsia="Calibri" w:hAnsi="Arial" w:cs="Arial"/>
          <w:sz w:val="22"/>
          <w:szCs w:val="22"/>
          <w:lang w:eastAsia="en-US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A77F31">
        <w:rPr>
          <w:rFonts w:ascii="Arial" w:eastAsia="Calibri" w:hAnsi="Arial" w:cs="Arial"/>
          <w:sz w:val="22"/>
          <w:szCs w:val="22"/>
          <w:lang w:eastAsia="en-US"/>
        </w:rPr>
        <w:t xml:space="preserve">ПТК </w:t>
      </w:r>
      <w:r w:rsidR="0057268E" w:rsidRPr="0057268E">
        <w:rPr>
          <w:rFonts w:ascii="Arial" w:eastAsia="Calibri" w:hAnsi="Arial" w:cs="Arial"/>
          <w:sz w:val="22"/>
          <w:szCs w:val="22"/>
          <w:lang w:eastAsia="en-US"/>
        </w:rPr>
        <w:t>АСУТП).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57268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77F31">
        <w:rPr>
          <w:rFonts w:ascii="Arial" w:hAnsi="Arial" w:cs="Arial"/>
          <w:sz w:val="22"/>
          <w:szCs w:val="22"/>
          <w:lang w:eastAsia="en-US"/>
        </w:rPr>
        <w:t xml:space="preserve">в период </w:t>
      </w:r>
      <w:r w:rsidR="0057268E" w:rsidRPr="0057268E">
        <w:rPr>
          <w:rFonts w:ascii="Arial" w:hAnsi="Arial" w:cs="Arial"/>
          <w:sz w:val="22"/>
          <w:szCs w:val="22"/>
          <w:lang w:eastAsia="en-US"/>
        </w:rPr>
        <w:t>с 01.03.2020</w:t>
      </w:r>
      <w:r w:rsidR="00A77F3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268E" w:rsidRPr="0057268E">
        <w:rPr>
          <w:rFonts w:ascii="Arial" w:hAnsi="Arial" w:cs="Arial"/>
          <w:sz w:val="22"/>
          <w:szCs w:val="22"/>
          <w:lang w:eastAsia="en-US"/>
        </w:rPr>
        <w:t>г. по 15.04.2020</w:t>
      </w:r>
      <w:r w:rsidR="00A77F3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268E" w:rsidRPr="0057268E">
        <w:rPr>
          <w:rFonts w:ascii="Arial" w:hAnsi="Arial" w:cs="Arial"/>
          <w:sz w:val="22"/>
          <w:szCs w:val="22"/>
          <w:lang w:eastAsia="en-US"/>
        </w:rPr>
        <w:t>г</w:t>
      </w:r>
      <w:r w:rsidR="00A77F31">
        <w:rPr>
          <w:rFonts w:ascii="Arial" w:hAnsi="Arial" w:cs="Arial"/>
          <w:sz w:val="22"/>
          <w:szCs w:val="22"/>
          <w:lang w:eastAsia="en-US"/>
        </w:rPr>
        <w:t>.</w:t>
      </w:r>
      <w:r w:rsidR="0057268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 Санкт-Петербург, ул. Пилотов д. 35</w:t>
      </w:r>
      <w:r w:rsidR="00D0792B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Pr="0057268E" w:rsidRDefault="00C240FF" w:rsidP="0057268E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475547" w:rsidRPr="00475547">
        <w:rPr>
          <w:rFonts w:ascii="Arial" w:eastAsia="Calibri" w:hAnsi="Arial" w:cs="Arial"/>
          <w:sz w:val="22"/>
          <w:szCs w:val="22"/>
          <w:lang w:eastAsia="en-US"/>
        </w:rPr>
        <w:t xml:space="preserve">услуги по </w:t>
      </w:r>
      <w:r w:rsidR="0057268E" w:rsidRPr="0057268E">
        <w:rPr>
          <w:rFonts w:ascii="Arial" w:eastAsia="Calibri" w:hAnsi="Arial" w:cs="Arial"/>
          <w:sz w:val="22"/>
          <w:szCs w:val="22"/>
          <w:lang w:eastAsia="en-US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792B">
        <w:rPr>
          <w:rFonts w:ascii="Arial" w:eastAsia="Calibri" w:hAnsi="Arial" w:cs="Arial"/>
          <w:sz w:val="22"/>
          <w:szCs w:val="22"/>
          <w:lang w:eastAsia="en-US"/>
        </w:rPr>
        <w:t xml:space="preserve">ПТК </w:t>
      </w:r>
      <w:r w:rsidR="0057268E" w:rsidRPr="0057268E">
        <w:rPr>
          <w:rFonts w:ascii="Arial" w:eastAsia="Calibri" w:hAnsi="Arial" w:cs="Arial"/>
          <w:sz w:val="22"/>
          <w:szCs w:val="22"/>
          <w:lang w:eastAsia="en-US"/>
        </w:rPr>
        <w:t>АСУТП)</w:t>
      </w:r>
      <w:r w:rsidR="0057268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62C27" w:rsidRPr="0057268E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57268E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 w:rsidRPr="0057268E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57268E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7348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0E7348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0E7348">
        <w:rPr>
          <w:rFonts w:ascii="Arial" w:hAnsi="Arial" w:cs="Arial"/>
          <w:sz w:val="22"/>
          <w:szCs w:val="22"/>
          <w:lang w:eastAsia="en-US"/>
        </w:rPr>
        <w:t>, кроме того НДС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71"/>
        <w:gridCol w:w="7200"/>
      </w:tblGrid>
      <w:tr w:rsidR="00EC71FC" w:rsidRPr="00011248" w:rsidTr="00AA02E3">
        <w:trPr>
          <w:tblHeader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EC71FC" w:rsidRPr="00EC71FC" w:rsidRDefault="00EC71FC" w:rsidP="00DC3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EC71FC" w:rsidRPr="00011248" w:rsidTr="00AA02E3">
        <w:trPr>
          <w:trHeight w:val="383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35.</w:t>
            </w:r>
          </w:p>
        </w:tc>
      </w:tr>
      <w:tr w:rsidR="00EC71FC" w:rsidRPr="00011248" w:rsidTr="00AA02E3">
        <w:trPr>
          <w:trHeight w:val="405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Объект АО «Совэкс» территория базового склада:</w:t>
            </w:r>
          </w:p>
          <w:p w:rsidR="00EC71FC" w:rsidRPr="00EC71FC" w:rsidRDefault="00EC71FC" w:rsidP="00DC30FD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г. Санкт-Петербург, ул. Пилотов, д. 35;</w:t>
            </w:r>
          </w:p>
        </w:tc>
      </w:tr>
      <w:tr w:rsidR="00EC71FC" w:rsidRPr="00011248" w:rsidTr="00AA02E3">
        <w:trPr>
          <w:trHeight w:val="427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Сервисное (техническое) обслуживание ПТК АСУТП</w:t>
            </w:r>
          </w:p>
        </w:tc>
      </w:tr>
      <w:tr w:rsidR="00EC71FC" w:rsidRPr="00410D31" w:rsidTr="00AA02E3">
        <w:trPr>
          <w:trHeight w:val="669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Основные</w:t>
            </w:r>
          </w:p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 xml:space="preserve">требования 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C71FC">
              <w:rPr>
                <w:rFonts w:ascii="Arial" w:hAnsi="Arial" w:cs="Arial"/>
                <w:b/>
                <w:sz w:val="22"/>
                <w:szCs w:val="22"/>
              </w:rPr>
              <w:t>Сервисное (техническое) обслуживание ПТК АСУТП:</w:t>
            </w:r>
          </w:p>
          <w:p w:rsidR="00EC71FC" w:rsidRPr="00EC71FC" w:rsidRDefault="00EC71FC" w:rsidP="00EC71F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Цели сервисного (технического) обслуживания: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- Сервисное (техническое) обслуживание должно учитывать характер и условия эксплуатации ПТК, включать перечень </w:t>
            </w:r>
            <w:r w:rsidRPr="00EC71FC">
              <w:rPr>
                <w:rFonts w:ascii="Arial" w:hAnsi="Arial" w:cs="Arial"/>
                <w:sz w:val="22"/>
                <w:szCs w:val="22"/>
              </w:rPr>
              <w:lastRenderedPageBreak/>
              <w:t>профилактических работ с указанием их периодичности и состава требуемых для их выполнения специалистов, перечень необходимых инструментов, материалов, контрольно-измерительных приборов.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- Правильно организованное сервисное (техническое) обслуживание позволит снизить эксплуатационные расходы (за счёт уменьшения числа аварийных ситуаций, приводящих к отказам, сокращениям дорогостоящих внеплановых ремонтов, снижения затрат на плановые ремонты).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- В рамках сервисного (технического) обслуживания должно выделяться два важнейших направления работ: профилактика и восстановление после сбоев, остановов и других нарушений штатного функционирования.</w:t>
            </w:r>
          </w:p>
          <w:p w:rsidR="00EC71FC" w:rsidRPr="00EC71FC" w:rsidRDefault="00EC71FC" w:rsidP="00EC71F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Состав шкафного оборудования и рабочего места оператора:</w:t>
            </w:r>
          </w:p>
          <w:p w:rsidR="00D03F39" w:rsidRDefault="00EC71FC" w:rsidP="00DC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EC71FC">
              <w:rPr>
                <w:rFonts w:ascii="Arial" w:hAnsi="Arial" w:cs="Arial"/>
                <w:sz w:val="22"/>
                <w:szCs w:val="22"/>
              </w:rPr>
              <w:t>огласно структурной электрической схеме ТЗК «Северо-Запад», система автоматизации разнесена по шкафам учета, находящимся в здании Аппаратной и Операторной, в соответствии с функциональным назначением и физическим размещением объектов управления. Автоматизированная система управления технологическими процессами ТЗК «Северо-Запад» является сложным программно-аппаратным комплексом с разветвленной структурой технологических объектов управления (ТОУ). Средства автоматизации направлены на контроль и управление ТОУ, а также противоаварийную защиту в случае аппаратного сбоя или неправильной работы устройств.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C71F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Коротко о составе шкафов управления и АРМ-оператора, входящих в ПТК АСУТП: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  <w:u w:val="single"/>
              </w:rPr>
              <w:t>Помещение Операторная:</w:t>
            </w:r>
          </w:p>
          <w:p w:rsidR="00EC71FC" w:rsidRPr="00EC71FC" w:rsidRDefault="00EC71FC" w:rsidP="00EC71FC">
            <w:pPr>
              <w:numPr>
                <w:ilvl w:val="0"/>
                <w:numId w:val="12"/>
              </w:numPr>
              <w:spacing w:after="200" w:line="276" w:lineRule="auto"/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АРМ – автоматизированное рабочее место оператора:</w:t>
            </w:r>
          </w:p>
          <w:p w:rsidR="00EC71FC" w:rsidRPr="00EC71FC" w:rsidRDefault="00EC71FC" w:rsidP="00EC71FC">
            <w:pPr>
              <w:numPr>
                <w:ilvl w:val="1"/>
                <w:numId w:val="13"/>
              </w:numPr>
              <w:spacing w:after="200" w:line="276" w:lineRule="auto"/>
              <w:ind w:left="7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Персональный компьютер с установленным пакетом программного обеспечения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SCADA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SIEMENS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TIA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PORTAL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– 4 шт.;</w:t>
            </w:r>
          </w:p>
          <w:p w:rsidR="00EC71FC" w:rsidRPr="00EC71FC" w:rsidRDefault="00EC71FC" w:rsidP="00EC71FC">
            <w:pPr>
              <w:numPr>
                <w:ilvl w:val="1"/>
                <w:numId w:val="13"/>
              </w:numPr>
              <w:spacing w:after="200" w:line="276" w:lineRule="auto"/>
              <w:ind w:left="7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Инженерная станция (ноутбук) с установленным пакетом программного обеспечения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SCADA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SIEMENS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TIA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PORTAL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– 1шт.;</w:t>
            </w:r>
          </w:p>
          <w:p w:rsidR="00EC71FC" w:rsidRPr="00EC71FC" w:rsidRDefault="00EC71FC" w:rsidP="00EC71FC">
            <w:pPr>
              <w:numPr>
                <w:ilvl w:val="1"/>
                <w:numId w:val="13"/>
              </w:numPr>
              <w:spacing w:after="200" w:line="276" w:lineRule="auto"/>
              <w:ind w:left="7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Принтер лазерный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 xml:space="preserve"> – Kyosera -1</w:t>
            </w:r>
            <w:r w:rsidRPr="00EC71FC">
              <w:rPr>
                <w:rFonts w:ascii="Arial" w:hAnsi="Arial" w:cs="Arial"/>
                <w:sz w:val="22"/>
                <w:szCs w:val="22"/>
              </w:rPr>
              <w:t>шт.;</w:t>
            </w:r>
          </w:p>
          <w:p w:rsidR="00EC71FC" w:rsidRPr="00EC71FC" w:rsidRDefault="00EC71FC" w:rsidP="00EC71FC">
            <w:pPr>
              <w:numPr>
                <w:ilvl w:val="1"/>
                <w:numId w:val="13"/>
              </w:numPr>
              <w:spacing w:after="200" w:line="276" w:lineRule="auto"/>
              <w:ind w:left="7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ИБП (источник бесперебойного питания)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Liebert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GXT</w:t>
            </w:r>
            <w:r w:rsidRPr="00EC71FC">
              <w:rPr>
                <w:rFonts w:ascii="Arial" w:hAnsi="Arial" w:cs="Arial"/>
                <w:sz w:val="22"/>
                <w:szCs w:val="22"/>
              </w:rPr>
              <w:t>-4 – 2шт.</w:t>
            </w:r>
          </w:p>
          <w:p w:rsidR="00EC71FC" w:rsidRPr="00EC71FC" w:rsidRDefault="00EC71FC" w:rsidP="00EC71FC">
            <w:pPr>
              <w:numPr>
                <w:ilvl w:val="0"/>
                <w:numId w:val="12"/>
              </w:numPr>
              <w:spacing w:after="200" w:line="276" w:lineRule="auto"/>
              <w:ind w:left="175" w:hanging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ШСВ –шкаф серверного оборудования;</w:t>
            </w:r>
          </w:p>
          <w:p w:rsidR="00EC71FC" w:rsidRPr="00EC71FC" w:rsidRDefault="00EC71FC" w:rsidP="00EC71FC">
            <w:pPr>
              <w:numPr>
                <w:ilvl w:val="1"/>
                <w:numId w:val="11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  Серверы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Proliant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DL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380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Gen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-9 с установленным пакетом программного обеспечения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SCADA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SIEMENS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TIA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PORTAL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– 2шт.;</w:t>
            </w:r>
          </w:p>
          <w:p w:rsidR="00EC71FC" w:rsidRPr="00AA02E3" w:rsidRDefault="00EC71FC" w:rsidP="00EC71FC">
            <w:pPr>
              <w:numPr>
                <w:ilvl w:val="1"/>
                <w:numId w:val="11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  ИБП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EATON 5130 – 1</w:t>
            </w:r>
            <w:r w:rsidRPr="00EC71FC">
              <w:rPr>
                <w:rFonts w:ascii="Arial" w:hAnsi="Arial" w:cs="Arial"/>
                <w:sz w:val="22"/>
                <w:szCs w:val="22"/>
              </w:rPr>
              <w:t>шт.;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Помещение Аппаратная: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СС_01;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СС_02;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СС_03;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СС_04;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СС_05;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СС_07 – СИ «СИМОН», Котроллеры налива ПН-2 и ПН-3;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MOV_1</w:t>
            </w:r>
            <w:r w:rsidRPr="00EC71F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MOV_2</w:t>
            </w:r>
            <w:r w:rsidRPr="00EC71F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СС_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ESD_1</w:t>
            </w:r>
            <w:r w:rsidRPr="00EC71F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СС_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ESD_</w:t>
            </w:r>
            <w:r w:rsidRPr="00EC71FC">
              <w:rPr>
                <w:rFonts w:ascii="Arial" w:hAnsi="Arial" w:cs="Arial"/>
                <w:sz w:val="22"/>
                <w:szCs w:val="22"/>
              </w:rPr>
              <w:t>2;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 УР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C71FC">
              <w:rPr>
                <w:rFonts w:ascii="Arial" w:hAnsi="Arial" w:cs="Arial"/>
                <w:sz w:val="22"/>
                <w:szCs w:val="22"/>
              </w:rPr>
              <w:t>СИ «СТРУНА+»;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ИБП </w:t>
            </w:r>
            <w:r w:rsidRPr="00EC71FC">
              <w:rPr>
                <w:rFonts w:ascii="Arial" w:hAnsi="Arial" w:cs="Arial"/>
                <w:sz w:val="22"/>
                <w:szCs w:val="22"/>
                <w:lang w:val="en-US"/>
              </w:rPr>
              <w:t>DKS</w:t>
            </w:r>
            <w:r w:rsidRPr="00EC71FC">
              <w:rPr>
                <w:rFonts w:ascii="Arial" w:hAnsi="Arial" w:cs="Arial"/>
                <w:sz w:val="22"/>
                <w:szCs w:val="22"/>
              </w:rPr>
              <w:t xml:space="preserve"> с дополнительным батарейным блоком – 1шт. (Находится в электрощитовой здания аппаратной);</w:t>
            </w:r>
          </w:p>
          <w:p w:rsidR="00EC71FC" w:rsidRPr="00EC71FC" w:rsidRDefault="00EC71FC" w:rsidP="00EC71FC">
            <w:pPr>
              <w:numPr>
                <w:ilvl w:val="0"/>
                <w:numId w:val="14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 xml:space="preserve"> Контроллер налива ПН-1 (Смонтирован на ПН-1).</w:t>
            </w:r>
          </w:p>
          <w:p w:rsidR="00EC71FC" w:rsidRPr="00EC71FC" w:rsidRDefault="00EC71FC" w:rsidP="00DC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Дополнительные данные о составе оборудования предоставляются отдельно, после официального запроса.</w:t>
            </w:r>
          </w:p>
          <w:p w:rsidR="00EC71FC" w:rsidRPr="00EC71FC" w:rsidRDefault="00EC71FC" w:rsidP="00EC71FC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Состав услуг: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Проверка основного и резервного питания от ИБП;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Проверка работы ИБП участвующих в обеспечение бесперебойного питания системы АСУТП (проверка времени работы оборудования от ИБП с занесением данных в технический отчет);</w:t>
            </w:r>
          </w:p>
          <w:p w:rsidR="00EC71FC" w:rsidRPr="00EC71FC" w:rsidRDefault="00EC71FC" w:rsidP="00EC71FC">
            <w:pPr>
              <w:numPr>
                <w:ilvl w:val="0"/>
                <w:numId w:val="15"/>
              </w:numPr>
              <w:spacing w:after="20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Проверка, протяжка крепёжных деталей блоков питания контроллеров, процессорных модулей и модулей ввода – вывода, а также всех клеммных соединений в шкафах управления ТО помещения Операторная и Аппаратная;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Проверка функционирования АРМ – оператора (4 ПК) и установленного на нем программного обеспечения;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Проверка функционирования инженерной станции и установленного на ней программного обеспечения;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Проверка актуальности версии проекта </w:t>
            </w:r>
            <w:r w:rsidRPr="00EC71FC">
              <w:rPr>
                <w:rFonts w:ascii="Arial" w:hAnsi="Arial" w:cs="Arial"/>
                <w:lang w:val="en-US"/>
              </w:rPr>
              <w:t>TIA</w:t>
            </w:r>
            <w:r w:rsidRPr="00EC71FC">
              <w:rPr>
                <w:rFonts w:ascii="Arial" w:hAnsi="Arial" w:cs="Arial"/>
              </w:rPr>
              <w:t xml:space="preserve"> </w:t>
            </w:r>
            <w:r w:rsidRPr="00EC71FC">
              <w:rPr>
                <w:rFonts w:ascii="Arial" w:hAnsi="Arial" w:cs="Arial"/>
                <w:lang w:val="en-US"/>
              </w:rPr>
              <w:t>PORTAL</w:t>
            </w:r>
            <w:r w:rsidRPr="00EC71FC">
              <w:rPr>
                <w:rFonts w:ascii="Arial" w:hAnsi="Arial" w:cs="Arial"/>
              </w:rPr>
              <w:t xml:space="preserve"> на инженерной станции. Проверка механизма загрузки актуальной версии проекта с инженерной станции на основной и резервный серверы;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Проверка правильности запуска программного обеспечения основного и резервного серверов;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Проверка работоспособности механизма переключения рабочих станций между основным и резервным серверами;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Контроль качества связи между серверами (основным и </w:t>
            </w:r>
            <w:r w:rsidRPr="00EC71FC">
              <w:rPr>
                <w:rFonts w:ascii="Arial" w:hAnsi="Arial" w:cs="Arial"/>
              </w:rPr>
              <w:lastRenderedPageBreak/>
              <w:t xml:space="preserve">резервным) и контроллерами внутренними средствами </w:t>
            </w:r>
            <w:r w:rsidRPr="00EC71FC">
              <w:rPr>
                <w:rFonts w:ascii="Arial" w:hAnsi="Arial" w:cs="Arial"/>
                <w:lang w:val="en-US"/>
              </w:rPr>
              <w:t>TIA</w:t>
            </w:r>
            <w:r w:rsidRPr="00EC71FC">
              <w:rPr>
                <w:rFonts w:ascii="Arial" w:hAnsi="Arial" w:cs="Arial"/>
              </w:rPr>
              <w:t xml:space="preserve"> </w:t>
            </w:r>
            <w:r w:rsidRPr="00EC71FC">
              <w:rPr>
                <w:rFonts w:ascii="Arial" w:hAnsi="Arial" w:cs="Arial"/>
                <w:lang w:val="en-US"/>
              </w:rPr>
              <w:t>PORTAL</w:t>
            </w:r>
            <w:r w:rsidRPr="00EC71FC">
              <w:rPr>
                <w:rFonts w:ascii="Arial" w:hAnsi="Arial" w:cs="Arial"/>
              </w:rPr>
              <w:t>, в том числе проверка восстановления связи после сбоя в работе контроллеров;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функций архивирования значений параметров и сообщений, в том числе аварийных;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функционирования «зеркализации» архивов;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работоспособности системы формирования и печати документов;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 Проверка соответствия регламента доступа к элементам управления;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работоспособности визуализации тревожных сообщений;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состояния лицензирования программного обеспечения;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системного журнала событий;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Проверка программного обеспечения антивирусными программами;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Диагностика работы контроллерного и сетевого оборудования;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 Составление технического отчета по результатам сервисного обслуживания.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C71FC" w:rsidRPr="00EC71FC" w:rsidRDefault="00EC71FC" w:rsidP="00EC71FC">
            <w:pPr>
              <w:pStyle w:val="13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  <w:b/>
              </w:rPr>
              <w:t xml:space="preserve">* Дополнительно проводится: </w:t>
            </w:r>
            <w:r w:rsidRPr="00EC71FC">
              <w:rPr>
                <w:rFonts w:ascii="Arial" w:hAnsi="Arial" w:cs="Arial"/>
              </w:rPr>
              <w:t>Выполнение поверки (контроля) и восстановления метрологических характеристик аналоговых каналов вводов/выводов контроллеров с использованием специализированного оборудования и ПО с предоставление протокола.</w:t>
            </w:r>
          </w:p>
        </w:tc>
      </w:tr>
      <w:tr w:rsidR="00EC71FC" w:rsidRPr="00011248" w:rsidTr="00AA02E3">
        <w:trPr>
          <w:trHeight w:val="834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EC71FC">
            <w:pPr>
              <w:pStyle w:val="13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  <w:b/>
              </w:rPr>
              <w:t>*</w:t>
            </w:r>
            <w:r w:rsidRPr="00EC71FC">
              <w:rPr>
                <w:rFonts w:ascii="Arial" w:hAnsi="Arial" w:cs="Arial"/>
              </w:rPr>
              <w:t>Организация должна иметь все необходимые разрешительные документы для проведение данного вида услуги, а также поверенное и сертифицированное оборудование.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Исправление выявленных персоналом эксплуатирующей организации недочетов в работе </w:t>
            </w:r>
            <w:r w:rsidRPr="00EC71FC">
              <w:rPr>
                <w:rFonts w:ascii="Arial" w:hAnsi="Arial" w:cs="Arial"/>
                <w:lang w:val="en-US"/>
              </w:rPr>
              <w:t>SCADA</w:t>
            </w:r>
            <w:r w:rsidRPr="00EC71FC">
              <w:rPr>
                <w:rFonts w:ascii="Arial" w:hAnsi="Arial" w:cs="Arial"/>
              </w:rPr>
              <w:t>, в процессе опытно промышленной эксплуатации (ошибки, недочеты, корректировка надписей и т.д.).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Предусмотреть возможность незапланированного выезда специалиста (ов) при возникновении аварийной ситуации не предвиденного характера, для восстановления работы оборудования в кратчайшие сроки после поступления официального запроса.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В рамках гарантии на выполненные работы предоставить удаленную техническую поддержку специалистам АО «Совэкс».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459"/>
              <w:jc w:val="both"/>
              <w:rPr>
                <w:rFonts w:ascii="Arial" w:hAnsi="Arial" w:cs="Arial"/>
                <w:b/>
              </w:rPr>
            </w:pPr>
            <w:r w:rsidRPr="00EC71FC">
              <w:rPr>
                <w:rFonts w:ascii="Arial" w:hAnsi="Arial" w:cs="Arial"/>
                <w:b/>
              </w:rPr>
              <w:t>Время предоставления поддержки, в рабочие дни с 08:00 до 16:00 мск.</w:t>
            </w:r>
          </w:p>
          <w:p w:rsidR="00EC71FC" w:rsidRPr="00EC71FC" w:rsidRDefault="00EC71FC" w:rsidP="00EC71FC">
            <w:pPr>
              <w:pStyle w:val="13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Анализ неисправностей в работе ТО и КИПиА Склада на момент проведения услуги сервисного (технического) обслуживания системы АСУТП на территории объекта (проверка цепей управления, линий связи с оборудованием), выдача технических заключений и рекомендаций по их устранению с занесением данных в технический отчет.</w:t>
            </w:r>
          </w:p>
        </w:tc>
      </w:tr>
      <w:tr w:rsidR="00EC71FC" w:rsidRPr="00011248" w:rsidTr="00AA02E3">
        <w:trPr>
          <w:trHeight w:val="283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Требования к сотрудникам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Подбор и привлечение персонала к трудовой деятельности должен производиться при строгом соблюдении требований, установленных действующим законодательством Российской Федерации. 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lastRenderedPageBreak/>
              <w:t>Сотрудники, не являющиеся резидентами Российской Федерации, должны иметь документы, удостоверяющие личность (паспорт) и разрешение на работу в г. Санкт-Петербурге, свободно владеть русским языком.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Сотрудники компании должны: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- быть квалифицированными, добросовестными и годными по состоянию здоровья к данному роду деятельности;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- иметь опрятный внешний вид и специальную униформу (спецодежду, спецобувь, сигнальный жилет, СИЗ);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- быть аккуратными и бережливо относиться к имуществу АО «Совэкс»;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- специалисты должны иметь все необходимые квалификации для проведения состава услуг, указанных в пункте №4.</w:t>
            </w:r>
          </w:p>
        </w:tc>
      </w:tr>
      <w:tr w:rsidR="00EC71FC" w:rsidRPr="00011248" w:rsidTr="00AA02E3">
        <w:trPr>
          <w:trHeight w:val="332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Технический отчет с предоставлением актов </w:t>
            </w:r>
            <w:r w:rsidR="00D03F39">
              <w:rPr>
                <w:rFonts w:ascii="Arial" w:hAnsi="Arial" w:cs="Arial"/>
              </w:rPr>
              <w:t>оказанных</w:t>
            </w:r>
            <w:r w:rsidRPr="00EC71FC">
              <w:rPr>
                <w:rFonts w:ascii="Arial" w:hAnsi="Arial" w:cs="Arial"/>
              </w:rPr>
              <w:t xml:space="preserve"> услуг, протоколов проводимых замеров, поверок каналов и т.д. 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В случае неисправности ТО и КИПиА на момент проведения услуги по сервисному (техническому) обслуживанию на территории склада – составляется заключение о несоответствии параметров работы оборудования с рекомендациями к их устранению.</w:t>
            </w:r>
          </w:p>
        </w:tc>
      </w:tr>
      <w:tr w:rsidR="00EC71FC" w:rsidRPr="00011248" w:rsidTr="00AA02E3">
        <w:trPr>
          <w:trHeight w:val="332"/>
        </w:trPr>
        <w:tc>
          <w:tcPr>
            <w:tcW w:w="543" w:type="dxa"/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71" w:type="dxa"/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200" w:type="dxa"/>
            <w:vAlign w:val="center"/>
          </w:tcPr>
          <w:p w:rsidR="00EC71FC" w:rsidRPr="00EC71FC" w:rsidRDefault="00EC71FC" w:rsidP="00DC30F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Оплата оказанных услуг по сервисному (техническому) обслуживанию ПТК АСУТП, а так же в случае незапланированного выезда специалистов Исполнителя для восстановления работы системы при возникновении аварийной ситуации не предвиденного характера, производится Заказчиком перечислением денежных средств на расчетный счет Исполнителя в течение 10 (десяти)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EC71FC" w:rsidRPr="00EC71FC" w:rsidRDefault="00EC71FC" w:rsidP="00DC30F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71FC" w:rsidRPr="00881208" w:rsidTr="00AA02E3">
        <w:trPr>
          <w:trHeight w:val="332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Сроки оказания услуг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C71FC" w:rsidRPr="00EC71FC" w:rsidRDefault="00EC71FC" w:rsidP="00DC30FD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 xml:space="preserve">в период с 01.03.2020 г. по 15.04.2020 г. </w:t>
            </w:r>
          </w:p>
        </w:tc>
      </w:tr>
      <w:tr w:rsidR="00EC71FC" w:rsidRPr="00011248" w:rsidTr="00AA02E3">
        <w:trPr>
          <w:trHeight w:val="1180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Гарантии на оказанные услуги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C71FC" w:rsidRPr="00EC71FC" w:rsidRDefault="00EC71FC" w:rsidP="00DC30FD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В рамках гарантии на оказанные услуги Исполнителем предоставляется удаленная техническая поддержка специалистов АО «Совэкс» сроком на 12 (двенадцать) месяцев с даты заключения договора.</w:t>
            </w:r>
          </w:p>
        </w:tc>
      </w:tr>
      <w:tr w:rsidR="00EC71FC" w:rsidRPr="00011248" w:rsidTr="00AA02E3">
        <w:trPr>
          <w:trHeight w:val="1661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C71FC" w:rsidRPr="00EC71FC" w:rsidRDefault="00EC71FC" w:rsidP="00DC30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EC71FC" w:rsidRPr="00EC71FC" w:rsidRDefault="00EC71FC" w:rsidP="00DC30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71FC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C71FC" w:rsidRPr="00EC71FC" w:rsidRDefault="00EC71FC" w:rsidP="00DC30FD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Общая стоимость услуг должна включать стоимость проведения всего комплекса услуг, в том числе, командировочные расходы, стоимость проезда и проживания специалистов Исполнителя.</w:t>
            </w:r>
          </w:p>
          <w:p w:rsidR="00EC71FC" w:rsidRPr="00EC71FC" w:rsidRDefault="00EC71FC" w:rsidP="00DC30FD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71FC">
              <w:rPr>
                <w:rFonts w:ascii="Arial" w:hAnsi="Arial" w:cs="Arial"/>
              </w:rPr>
              <w:t>Услуги на территории предприятия Заказчика должны быть организованы с учетом обеспечения безопасности работающего персонала.</w:t>
            </w:r>
          </w:p>
        </w:tc>
      </w:tr>
    </w:tbl>
    <w:p w:rsidR="00915AC9" w:rsidRPr="00915AC9" w:rsidRDefault="00915AC9" w:rsidP="00915AC9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</w:t>
            </w:r>
            <w:r w:rsidRPr="00604B62">
              <w:rPr>
                <w:rFonts w:ascii="Arial" w:hAnsi="Arial" w:cs="Arial"/>
                <w:sz w:val="22"/>
                <w:szCs w:val="22"/>
              </w:rPr>
              <w:lastRenderedPageBreak/>
              <w:t>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F7E5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F7E5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DC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оказать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 xml:space="preserve">услуги по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      </w:r>
            <w:r w:rsidR="00DC30FD">
              <w:rPr>
                <w:rFonts w:ascii="Arial" w:hAnsi="Arial" w:cs="Arial"/>
                <w:sz w:val="22"/>
                <w:szCs w:val="22"/>
              </w:rPr>
              <w:t xml:space="preserve">ПТК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АСУТП).</w:t>
            </w:r>
            <w:r w:rsidR="00DC30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CF6123">
              <w:rPr>
                <w:rFonts w:ascii="Arial" w:hAnsi="Arial" w:cs="Arial"/>
                <w:sz w:val="22"/>
                <w:szCs w:val="22"/>
              </w:rPr>
              <w:t>19-12</w:t>
            </w:r>
            <w:r w:rsidR="00F60FD2">
              <w:rPr>
                <w:rFonts w:ascii="Arial" w:hAnsi="Arial" w:cs="Arial"/>
                <w:sz w:val="22"/>
                <w:szCs w:val="22"/>
              </w:rPr>
              <w:t>-0</w:t>
            </w:r>
            <w:r w:rsidR="00CF6123">
              <w:rPr>
                <w:rFonts w:ascii="Arial" w:hAnsi="Arial" w:cs="Arial"/>
                <w:sz w:val="22"/>
                <w:szCs w:val="22"/>
              </w:rPr>
              <w:t>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C30F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D1223" w:rsidRPr="00FD1223">
              <w:rPr>
                <w:rFonts w:ascii="Arial" w:hAnsi="Arial" w:cs="Arial"/>
                <w:sz w:val="22"/>
                <w:szCs w:val="22"/>
              </w:rPr>
              <w:t xml:space="preserve">услуги по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      </w:r>
            <w:r w:rsidR="00DC30FD">
              <w:rPr>
                <w:rFonts w:ascii="Arial" w:hAnsi="Arial" w:cs="Arial"/>
                <w:sz w:val="22"/>
                <w:szCs w:val="22"/>
              </w:rPr>
              <w:t xml:space="preserve">ПТК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АСУТП).</w:t>
            </w:r>
            <w:r w:rsidR="00DC30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CF6123">
              <w:rPr>
                <w:rFonts w:ascii="Arial" w:hAnsi="Arial" w:cs="Arial"/>
                <w:sz w:val="22"/>
                <w:szCs w:val="22"/>
              </w:rPr>
              <w:t>номер процедуры: 2019-12</w:t>
            </w:r>
            <w:r w:rsidR="00F60FD2">
              <w:rPr>
                <w:rFonts w:ascii="Arial" w:hAnsi="Arial" w:cs="Arial"/>
                <w:sz w:val="22"/>
                <w:szCs w:val="22"/>
              </w:rPr>
              <w:t>-0</w:t>
            </w:r>
            <w:r w:rsidR="00CF6123">
              <w:rPr>
                <w:rFonts w:ascii="Arial" w:hAnsi="Arial" w:cs="Arial"/>
                <w:sz w:val="22"/>
                <w:szCs w:val="22"/>
              </w:rPr>
              <w:t>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C30FD">
        <w:trPr>
          <w:trHeight w:val="1709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F6123" w:rsidRPr="00CF6123" w:rsidRDefault="00C6432B" w:rsidP="00CF6123">
      <w:pPr>
        <w:shd w:val="clear" w:color="auto" w:fill="FFFFFF"/>
        <w:spacing w:before="230"/>
        <w:jc w:val="both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FD1223" w:rsidRPr="00FD1223">
        <w:t xml:space="preserve"> </w:t>
      </w:r>
      <w:r w:rsidR="00FD1223" w:rsidRPr="00FD1223">
        <w:rPr>
          <w:rFonts w:ascii="Arial" w:hAnsi="Arial" w:cs="Arial"/>
          <w:bCs/>
          <w:sz w:val="22"/>
          <w:szCs w:val="22"/>
        </w:rPr>
        <w:t xml:space="preserve">услуги по </w:t>
      </w:r>
      <w:r w:rsidR="00CF6123" w:rsidRPr="00CF6123">
        <w:rPr>
          <w:rFonts w:ascii="Arial" w:hAnsi="Arial" w:cs="Arial"/>
          <w:bCs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bCs/>
          <w:sz w:val="22"/>
          <w:szCs w:val="22"/>
        </w:rPr>
        <w:t xml:space="preserve">ПТК </w:t>
      </w:r>
      <w:r w:rsidR="00CF6123" w:rsidRPr="00CF6123">
        <w:rPr>
          <w:rFonts w:ascii="Arial" w:hAnsi="Arial" w:cs="Arial"/>
          <w:bCs/>
          <w:sz w:val="22"/>
          <w:szCs w:val="22"/>
        </w:rPr>
        <w:t>АСУТП)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79B5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CF612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CF612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CF612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CF612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9DA8A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03D32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FD1223" w:rsidRDefault="00004386" w:rsidP="00CF612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FD1223" w:rsidRPr="00FD1223">
        <w:rPr>
          <w:rFonts w:ascii="Arial" w:hAnsi="Arial" w:cs="Arial"/>
          <w:b/>
          <w:sz w:val="22"/>
          <w:szCs w:val="22"/>
        </w:rPr>
        <w:t xml:space="preserve"> по </w:t>
      </w:r>
      <w:r w:rsidR="00CF6123" w:rsidRPr="00CF6123">
        <w:rPr>
          <w:rFonts w:ascii="Arial" w:hAnsi="Arial" w:cs="Arial"/>
          <w:b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b/>
          <w:sz w:val="22"/>
          <w:szCs w:val="22"/>
        </w:rPr>
        <w:t xml:space="preserve">ПТК </w:t>
      </w:r>
      <w:r w:rsidR="00CF6123" w:rsidRPr="00CF6123">
        <w:rPr>
          <w:rFonts w:ascii="Arial" w:hAnsi="Arial" w:cs="Arial"/>
          <w:b/>
          <w:sz w:val="22"/>
          <w:szCs w:val="22"/>
        </w:rPr>
        <w:t>АСУТП)</w:t>
      </w:r>
      <w:r w:rsidR="00CF6123">
        <w:rPr>
          <w:rFonts w:ascii="Arial" w:hAnsi="Arial" w:cs="Arial"/>
          <w:b/>
          <w:sz w:val="22"/>
          <w:szCs w:val="22"/>
        </w:rPr>
        <w:t xml:space="preserve"> </w:t>
      </w: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CF61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A02E3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с 01.03.2020</w:t>
            </w:r>
            <w:r w:rsidR="00AA0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г. по 15.04.2020</w:t>
            </w:r>
            <w:r w:rsidR="00AA02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г</w:t>
            </w:r>
            <w:r w:rsidR="003B07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A02E3" w:rsidRPr="00EC71FC" w:rsidRDefault="000A4924" w:rsidP="00AA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  <w:r w:rsidR="00AA02E3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="00AA02E3" w:rsidRPr="00EC71FC">
              <w:rPr>
                <w:rFonts w:ascii="Arial" w:hAnsi="Arial" w:cs="Arial"/>
                <w:sz w:val="22"/>
                <w:szCs w:val="22"/>
              </w:rPr>
              <w:t>плата оказанных услуг по сервисному (техническому) обслуживанию ПТК АСУТП, а так же в случае незапланированного выезда специалистов Исполнителя для восстановления работы системы при возникновении аварийной ситуации не предвиденного характера, производится Заказчиком перечислением денежных средств на расчетный счет Исполнителя в течение 10 (десяти)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2D0F62" w:rsidRPr="00604B62" w:rsidRDefault="00AA02E3" w:rsidP="00AA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FC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</w:t>
            </w:r>
            <w:r w:rsidR="00CF6123" w:rsidRPr="00CF61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 xml:space="preserve">услуги по </w:t>
      </w:r>
      <w:r w:rsidR="00581504" w:rsidRPr="00581504">
        <w:rPr>
          <w:rFonts w:ascii="Arial" w:hAnsi="Arial" w:cs="Arial"/>
          <w:bCs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bCs/>
          <w:sz w:val="22"/>
          <w:szCs w:val="22"/>
        </w:rPr>
        <w:t xml:space="preserve">ПТК </w:t>
      </w:r>
      <w:r w:rsidR="00581504" w:rsidRPr="00581504">
        <w:rPr>
          <w:rFonts w:ascii="Arial" w:hAnsi="Arial" w:cs="Arial"/>
          <w:bCs/>
          <w:sz w:val="22"/>
          <w:szCs w:val="22"/>
        </w:rPr>
        <w:t>АСУТП)</w:t>
      </w:r>
      <w:r w:rsidR="00C4318D" w:rsidRPr="00C4318D">
        <w:rPr>
          <w:rFonts w:ascii="Arial" w:hAnsi="Arial" w:cs="Arial"/>
          <w:bCs/>
          <w:sz w:val="22"/>
          <w:szCs w:val="22"/>
        </w:rPr>
        <w:t>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A7F36" w:rsidRDefault="00004386" w:rsidP="003A7F3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b/>
          <w:sz w:val="22"/>
          <w:szCs w:val="22"/>
        </w:rPr>
        <w:t>услуг</w:t>
      </w:r>
      <w:r w:rsidR="003A7F36" w:rsidRPr="003A7F36">
        <w:rPr>
          <w:rFonts w:ascii="Arial" w:hAnsi="Arial" w:cs="Arial"/>
          <w:b/>
          <w:sz w:val="22"/>
          <w:szCs w:val="22"/>
        </w:rPr>
        <w:t xml:space="preserve"> по </w:t>
      </w:r>
      <w:r w:rsidR="00581504" w:rsidRPr="00581504">
        <w:rPr>
          <w:rFonts w:ascii="Arial" w:hAnsi="Arial" w:cs="Arial"/>
          <w:b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b/>
          <w:sz w:val="22"/>
          <w:szCs w:val="22"/>
        </w:rPr>
        <w:t xml:space="preserve">ПТК </w:t>
      </w:r>
      <w:r w:rsidR="00581504" w:rsidRPr="00581504">
        <w:rPr>
          <w:rFonts w:ascii="Arial" w:hAnsi="Arial" w:cs="Arial"/>
          <w:b/>
          <w:sz w:val="22"/>
          <w:szCs w:val="22"/>
        </w:rPr>
        <w:t>АСУТП)</w:t>
      </w:r>
      <w:r w:rsidR="00581504">
        <w:rPr>
          <w:rFonts w:ascii="Arial" w:hAnsi="Arial" w:cs="Arial"/>
          <w:b/>
          <w:sz w:val="22"/>
          <w:szCs w:val="22"/>
        </w:rPr>
        <w:t xml:space="preserve"> </w:t>
      </w:r>
    </w:p>
    <w:p w:rsidR="003B07D0" w:rsidRPr="006E74A7" w:rsidRDefault="003B07D0" w:rsidP="003A7F3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>
        <w:rPr>
          <w:rFonts w:ascii="Arial" w:hAnsi="Arial" w:cs="Arial"/>
          <w:sz w:val="22"/>
          <w:szCs w:val="22"/>
        </w:rPr>
        <w:t>услуг</w:t>
      </w:r>
      <w:r w:rsidR="003A7F36" w:rsidRPr="003A7F36">
        <w:rPr>
          <w:rFonts w:ascii="Arial" w:hAnsi="Arial" w:cs="Arial"/>
          <w:sz w:val="22"/>
          <w:szCs w:val="22"/>
        </w:rPr>
        <w:t xml:space="preserve"> по </w:t>
      </w:r>
      <w:r w:rsidR="00581504" w:rsidRPr="00581504">
        <w:rPr>
          <w:rFonts w:ascii="Arial" w:hAnsi="Arial" w:cs="Arial"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sz w:val="22"/>
          <w:szCs w:val="22"/>
        </w:rPr>
        <w:t xml:space="preserve">ПТК </w:t>
      </w:r>
      <w:r w:rsidR="00581504" w:rsidRPr="00581504">
        <w:rPr>
          <w:rFonts w:ascii="Arial" w:hAnsi="Arial" w:cs="Arial"/>
          <w:sz w:val="22"/>
          <w:szCs w:val="22"/>
        </w:rPr>
        <w:t>АСУТП)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bCs/>
          <w:sz w:val="22"/>
          <w:szCs w:val="22"/>
        </w:rPr>
        <w:t xml:space="preserve">услуги по </w:t>
      </w:r>
      <w:r w:rsidR="00581504" w:rsidRPr="00581504">
        <w:rPr>
          <w:rFonts w:ascii="Arial" w:hAnsi="Arial" w:cs="Arial"/>
          <w:bCs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bCs/>
          <w:sz w:val="22"/>
          <w:szCs w:val="22"/>
        </w:rPr>
        <w:t xml:space="preserve">ПТК </w:t>
      </w:r>
      <w:r w:rsidR="00581504" w:rsidRPr="00581504">
        <w:rPr>
          <w:rFonts w:ascii="Arial" w:hAnsi="Arial" w:cs="Arial"/>
          <w:bCs/>
          <w:sz w:val="22"/>
          <w:szCs w:val="22"/>
        </w:rPr>
        <w:t>АСУТП)</w:t>
      </w:r>
      <w:r w:rsidR="006E74A7" w:rsidRPr="006E74A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004386" w:rsidRPr="00604B62" w:rsidRDefault="00004386" w:rsidP="00581504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 xml:space="preserve">услуги по </w:t>
      </w:r>
      <w:r w:rsidR="00581504" w:rsidRPr="00581504">
        <w:rPr>
          <w:rFonts w:ascii="Arial" w:eastAsia="Calibri" w:hAnsi="Arial" w:cs="Arial"/>
          <w:color w:val="000000"/>
          <w:sz w:val="22"/>
          <w:szCs w:val="22"/>
          <w:lang w:eastAsia="en-US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ПТК </w:t>
      </w:r>
      <w:r w:rsidR="00581504" w:rsidRPr="00581504">
        <w:rPr>
          <w:rFonts w:ascii="Arial" w:eastAsia="Calibri" w:hAnsi="Arial" w:cs="Arial"/>
          <w:color w:val="000000"/>
          <w:sz w:val="22"/>
          <w:szCs w:val="22"/>
          <w:lang w:eastAsia="en-US"/>
        </w:rPr>
        <w:t>АСУТП)</w:t>
      </w:r>
      <w:r w:rsidR="005815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7F36" w:rsidRPr="003A7F36">
        <w:rPr>
          <w:rFonts w:ascii="Arial" w:hAnsi="Arial" w:cs="Arial"/>
          <w:sz w:val="22"/>
          <w:szCs w:val="22"/>
        </w:rPr>
        <w:t xml:space="preserve">услуги по </w:t>
      </w:r>
      <w:r w:rsidR="00581504" w:rsidRPr="00581504">
        <w:rPr>
          <w:rFonts w:ascii="Arial" w:hAnsi="Arial" w:cs="Arial"/>
          <w:sz w:val="22"/>
          <w:szCs w:val="22"/>
        </w:rPr>
        <w:t>сервисному (техническому) обслуживанию программно-технического комплекса автоматизированной системы управления технологическим процессом (</w:t>
      </w:r>
      <w:r w:rsidR="00D03F39">
        <w:rPr>
          <w:rFonts w:ascii="Arial" w:hAnsi="Arial" w:cs="Arial"/>
          <w:sz w:val="22"/>
          <w:szCs w:val="22"/>
        </w:rPr>
        <w:t xml:space="preserve">ПТК </w:t>
      </w:r>
      <w:r w:rsidR="00581504" w:rsidRPr="00581504">
        <w:rPr>
          <w:rFonts w:ascii="Arial" w:hAnsi="Arial" w:cs="Arial"/>
          <w:sz w:val="22"/>
          <w:szCs w:val="22"/>
        </w:rPr>
        <w:t>АСУТП)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581504">
        <w:rPr>
          <w:rFonts w:ascii="Arial" w:hAnsi="Arial" w:cs="Arial"/>
          <w:sz w:val="22"/>
          <w:szCs w:val="22"/>
        </w:rPr>
        <w:t>12</w:t>
      </w:r>
      <w:r w:rsidR="002D0F62">
        <w:rPr>
          <w:rFonts w:ascii="Arial" w:hAnsi="Arial" w:cs="Arial"/>
          <w:sz w:val="22"/>
          <w:szCs w:val="22"/>
        </w:rPr>
        <w:t>-</w:t>
      </w:r>
      <w:r w:rsidR="00F60FD2">
        <w:rPr>
          <w:rFonts w:ascii="Arial" w:hAnsi="Arial" w:cs="Arial"/>
          <w:sz w:val="22"/>
          <w:szCs w:val="22"/>
        </w:rPr>
        <w:t>0</w:t>
      </w:r>
      <w:r w:rsidR="00581504">
        <w:rPr>
          <w:rFonts w:ascii="Arial" w:hAnsi="Arial" w:cs="Arial"/>
          <w:sz w:val="22"/>
          <w:szCs w:val="22"/>
        </w:rPr>
        <w:t>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BB" w:rsidRDefault="006C3EBB" w:rsidP="00C6432B">
      <w:r>
        <w:separator/>
      </w:r>
    </w:p>
  </w:endnote>
  <w:endnote w:type="continuationSeparator" w:id="0">
    <w:p w:rsidR="006C3EBB" w:rsidRDefault="006C3EBB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D" w:rsidRPr="00FE19B1" w:rsidRDefault="00DC30FD">
    <w:pPr>
      <w:pStyle w:val="a6"/>
      <w:jc w:val="right"/>
      <w:rPr>
        <w:sz w:val="20"/>
        <w:szCs w:val="20"/>
      </w:rPr>
    </w:pPr>
  </w:p>
  <w:p w:rsidR="00DC30FD" w:rsidRDefault="00DC3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D" w:rsidRDefault="00DC30FD">
    <w:pPr>
      <w:pStyle w:val="a6"/>
      <w:jc w:val="right"/>
    </w:pPr>
  </w:p>
  <w:p w:rsidR="00DC30FD" w:rsidRDefault="00DC30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D" w:rsidRDefault="00DC30FD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0FD" w:rsidRDefault="00DC30FD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D" w:rsidRPr="00577554" w:rsidRDefault="00DC30FD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C30FD" w:rsidRDefault="00DC30F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C30FD" w:rsidRDefault="00DC30F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C30FD" w:rsidRDefault="00DC30F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C30FD" w:rsidRDefault="00DC30FD" w:rsidP="00A96243">
    <w:pPr>
      <w:pStyle w:val="a6"/>
      <w:ind w:right="360"/>
    </w:pPr>
  </w:p>
  <w:p w:rsidR="00DC30FD" w:rsidRDefault="00DC30FD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D" w:rsidRDefault="00DC30FD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0FD" w:rsidRDefault="00DC30FD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FD" w:rsidRPr="00577554" w:rsidRDefault="00DC30FD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C30FD" w:rsidRDefault="00DC30F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C30FD" w:rsidRDefault="00DC30F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C30FD" w:rsidRDefault="00DC30F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C30FD" w:rsidRDefault="00DC30FD" w:rsidP="00A96243">
    <w:pPr>
      <w:pStyle w:val="a6"/>
      <w:ind w:right="360"/>
    </w:pPr>
  </w:p>
  <w:p w:rsidR="00DC30FD" w:rsidRDefault="00DC30FD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BB" w:rsidRDefault="006C3EBB" w:rsidP="00C6432B">
      <w:r>
        <w:separator/>
      </w:r>
    </w:p>
  </w:footnote>
  <w:footnote w:type="continuationSeparator" w:id="0">
    <w:p w:rsidR="006C3EBB" w:rsidRDefault="006C3EBB" w:rsidP="00C6432B">
      <w:r>
        <w:continuationSeparator/>
      </w:r>
    </w:p>
  </w:footnote>
  <w:footnote w:id="1">
    <w:p w:rsidR="00DC30FD" w:rsidRDefault="00DC30FD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4AE"/>
    <w:multiLevelType w:val="hybridMultilevel"/>
    <w:tmpl w:val="6F62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C74"/>
    <w:multiLevelType w:val="hybridMultilevel"/>
    <w:tmpl w:val="0E1A7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E4FAC"/>
    <w:multiLevelType w:val="multilevel"/>
    <w:tmpl w:val="341A1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EBD6DED"/>
    <w:multiLevelType w:val="multilevel"/>
    <w:tmpl w:val="F3B88CB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8" w15:restartNumberingAfterBreak="0">
    <w:nsid w:val="25BB272E"/>
    <w:multiLevelType w:val="hybridMultilevel"/>
    <w:tmpl w:val="E3B2C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45506"/>
    <w:multiLevelType w:val="hybridMultilevel"/>
    <w:tmpl w:val="832A4D10"/>
    <w:lvl w:ilvl="0" w:tplc="881627E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5D392F50"/>
    <w:multiLevelType w:val="hybridMultilevel"/>
    <w:tmpl w:val="6F62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5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E7348"/>
    <w:rsid w:val="000F026F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75EC2"/>
    <w:rsid w:val="003860CE"/>
    <w:rsid w:val="00391790"/>
    <w:rsid w:val="00395D44"/>
    <w:rsid w:val="003A7F36"/>
    <w:rsid w:val="003B07D0"/>
    <w:rsid w:val="003B34AA"/>
    <w:rsid w:val="003B6250"/>
    <w:rsid w:val="003C41D4"/>
    <w:rsid w:val="003C59A3"/>
    <w:rsid w:val="003D3B8C"/>
    <w:rsid w:val="003D4A81"/>
    <w:rsid w:val="003F2EBB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0293"/>
    <w:rsid w:val="0057268E"/>
    <w:rsid w:val="005745A9"/>
    <w:rsid w:val="00581504"/>
    <w:rsid w:val="005830B9"/>
    <w:rsid w:val="00586FFA"/>
    <w:rsid w:val="005C1EC6"/>
    <w:rsid w:val="005C3D26"/>
    <w:rsid w:val="005C7D27"/>
    <w:rsid w:val="005D06F4"/>
    <w:rsid w:val="005D68CC"/>
    <w:rsid w:val="005F032F"/>
    <w:rsid w:val="005F17C4"/>
    <w:rsid w:val="00603037"/>
    <w:rsid w:val="00604B62"/>
    <w:rsid w:val="00610461"/>
    <w:rsid w:val="0061484F"/>
    <w:rsid w:val="00621CD4"/>
    <w:rsid w:val="00626410"/>
    <w:rsid w:val="00640DB3"/>
    <w:rsid w:val="00650BC2"/>
    <w:rsid w:val="006600E2"/>
    <w:rsid w:val="006717EE"/>
    <w:rsid w:val="0067421D"/>
    <w:rsid w:val="006A2A18"/>
    <w:rsid w:val="006A3F0C"/>
    <w:rsid w:val="006B3985"/>
    <w:rsid w:val="006B5AA4"/>
    <w:rsid w:val="006C2F76"/>
    <w:rsid w:val="006C3EBB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670D2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901"/>
    <w:rsid w:val="007E7FCC"/>
    <w:rsid w:val="007F7E76"/>
    <w:rsid w:val="008102C1"/>
    <w:rsid w:val="00823661"/>
    <w:rsid w:val="00836320"/>
    <w:rsid w:val="008372D6"/>
    <w:rsid w:val="00852670"/>
    <w:rsid w:val="00853E9E"/>
    <w:rsid w:val="00874D16"/>
    <w:rsid w:val="00881E33"/>
    <w:rsid w:val="00885F69"/>
    <w:rsid w:val="0088634D"/>
    <w:rsid w:val="00896107"/>
    <w:rsid w:val="008B1126"/>
    <w:rsid w:val="008B56CA"/>
    <w:rsid w:val="008C49F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9F7E5C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77F31"/>
    <w:rsid w:val="00A95F66"/>
    <w:rsid w:val="00A96243"/>
    <w:rsid w:val="00AA02E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34699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CF6123"/>
    <w:rsid w:val="00D03F39"/>
    <w:rsid w:val="00D0792B"/>
    <w:rsid w:val="00D20A22"/>
    <w:rsid w:val="00D217A4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C30FD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C71FC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0FD2"/>
    <w:rsid w:val="00F659BF"/>
    <w:rsid w:val="00F91487"/>
    <w:rsid w:val="00FC6361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C4D7-90E6-4564-847D-7389A50B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76</cp:revision>
  <cp:lastPrinted>2019-12-05T13:49:00Z</cp:lastPrinted>
  <dcterms:created xsi:type="dcterms:W3CDTF">2018-02-16T07:22:00Z</dcterms:created>
  <dcterms:modified xsi:type="dcterms:W3CDTF">2019-12-05T13:56:00Z</dcterms:modified>
</cp:coreProperties>
</file>